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D1062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D10624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A306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05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44</w:t>
      </w:r>
    </w:p>
    <w:p w:rsidR="00046988" w:rsidRPr="00046988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46988">
        <w:rPr>
          <w:rFonts w:ascii="Tahoma" w:hAnsi="Tahoma" w:cs="Tahoma"/>
          <w:b/>
          <w:szCs w:val="20"/>
        </w:rPr>
        <w:t>Vprašanje:</w:t>
      </w:r>
    </w:p>
    <w:p w:rsidR="00046988" w:rsidRPr="00D10624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46988" w:rsidRDefault="00D10624" w:rsidP="00046988">
      <w:pPr>
        <w:shd w:val="clear" w:color="auto" w:fill="FFFFFF"/>
        <w:textAlignment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1062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je lahko vodja gradnje, ki izpolnjuje točko 3.2.3.3, imenovan tudi za vodjo za izgradnjo premostitvenih objektov, ki izpolnjuje eno ali obe alineje iz točke 3.2.3.4?</w:t>
      </w:r>
    </w:p>
    <w:p w:rsidR="00D10624" w:rsidRPr="00D10624" w:rsidRDefault="00D10624" w:rsidP="00046988">
      <w:pPr>
        <w:shd w:val="clear" w:color="auto" w:fill="FFFFFF"/>
        <w:textAlignment w:val="center"/>
        <w:rPr>
          <w:rFonts w:ascii="Tahoma" w:hAnsi="Tahoma" w:cs="Tahoma"/>
          <w:b/>
          <w:sz w:val="20"/>
          <w:szCs w:val="20"/>
        </w:rPr>
      </w:pPr>
    </w:p>
    <w:p w:rsidR="002254BA" w:rsidRPr="00D10624" w:rsidRDefault="002254BA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10624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D10624">
        <w:rPr>
          <w:rFonts w:ascii="Tahoma" w:hAnsi="Tahoma" w:cs="Tahoma"/>
          <w:b/>
          <w:szCs w:val="20"/>
        </w:rPr>
        <w:t>Odgovor:</w:t>
      </w:r>
    </w:p>
    <w:p w:rsidR="000E7508" w:rsidRPr="00D10624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E13CD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Vodja gradnje, ki izpolnjuje </w:t>
      </w:r>
      <w:r w:rsidR="00642A82">
        <w:rPr>
          <w:rFonts w:ascii="Tahoma" w:hAnsi="Tahoma" w:cs="Tahoma"/>
          <w:szCs w:val="20"/>
        </w:rPr>
        <w:t xml:space="preserve">poleg </w:t>
      </w:r>
      <w:r w:rsidR="0018139A">
        <w:rPr>
          <w:rFonts w:ascii="Tahoma" w:hAnsi="Tahoma" w:cs="Tahoma"/>
          <w:szCs w:val="20"/>
        </w:rPr>
        <w:t xml:space="preserve">pogojev navedenih v točki </w:t>
      </w:r>
      <w:r w:rsidR="00E65F58">
        <w:rPr>
          <w:rFonts w:ascii="Tahoma" w:hAnsi="Tahoma" w:cs="Tahoma"/>
          <w:szCs w:val="20"/>
        </w:rPr>
        <w:t>3.2.3</w:t>
      </w:r>
      <w:proofErr w:type="gramStart"/>
      <w:r w:rsidR="00E65F58">
        <w:rPr>
          <w:rFonts w:ascii="Tahoma" w:hAnsi="Tahoma" w:cs="Tahoma"/>
          <w:szCs w:val="20"/>
        </w:rPr>
        <w:t>.</w:t>
      </w:r>
      <w:proofErr w:type="gramEnd"/>
      <w:r w:rsidR="00E65F58">
        <w:rPr>
          <w:rFonts w:ascii="Tahoma" w:hAnsi="Tahoma" w:cs="Tahoma"/>
          <w:szCs w:val="20"/>
        </w:rPr>
        <w:t>3. tudi oba pogoja iz točke 3.2.3</w:t>
      </w:r>
      <w:proofErr w:type="gramStart"/>
      <w:r w:rsidR="00E65F58">
        <w:rPr>
          <w:rFonts w:ascii="Tahoma" w:hAnsi="Tahoma" w:cs="Tahoma"/>
          <w:szCs w:val="20"/>
        </w:rPr>
        <w:t>.</w:t>
      </w:r>
      <w:proofErr w:type="gramEnd"/>
      <w:r w:rsidR="00E65F58">
        <w:rPr>
          <w:rFonts w:ascii="Tahoma" w:hAnsi="Tahoma" w:cs="Tahoma"/>
          <w:szCs w:val="20"/>
        </w:rPr>
        <w:t>4. je lahko imenovan za vodjo gradnje in tudi za vodjo del za izgradnjo premostitvenih objektov.</w:t>
      </w:r>
    </w:p>
    <w:p w:rsidR="00E65F58" w:rsidRPr="00D10624" w:rsidRDefault="00E65F58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kolikor izpolnjuje poleg pogojev navedenih v točki 3.2.3</w:t>
      </w:r>
      <w:proofErr w:type="gramStart"/>
      <w:r>
        <w:rPr>
          <w:rFonts w:ascii="Tahoma" w:hAnsi="Tahoma" w:cs="Tahoma"/>
          <w:szCs w:val="20"/>
        </w:rPr>
        <w:t>.</w:t>
      </w:r>
      <w:proofErr w:type="gramEnd"/>
      <w:r>
        <w:rPr>
          <w:rFonts w:ascii="Tahoma" w:hAnsi="Tahoma" w:cs="Tahoma"/>
          <w:szCs w:val="20"/>
        </w:rPr>
        <w:t>3. le en pogoj iz točke 3.2.3</w:t>
      </w:r>
      <w:proofErr w:type="gramStart"/>
      <w:r>
        <w:rPr>
          <w:rFonts w:ascii="Tahoma" w:hAnsi="Tahoma" w:cs="Tahoma"/>
          <w:szCs w:val="20"/>
        </w:rPr>
        <w:t>.</w:t>
      </w:r>
      <w:proofErr w:type="gramEnd"/>
      <w:r>
        <w:rPr>
          <w:rFonts w:ascii="Tahoma" w:hAnsi="Tahoma" w:cs="Tahoma"/>
          <w:szCs w:val="20"/>
        </w:rPr>
        <w:t>4. je lahko imenovan poleg vodje gradnje tudi za vodjo del za izgradnjo premostitvenih objektov tistega tipa, za katerega izpolnjuje zahtevani pogoj (armiranobetonski ali jekleni). V temu primeru mora biti za vodjo del za izgradnjo premostitvenega objekta drugega tipa od tistega, za katerega izpolnjuje vodja gradnje referenčni pogoj, imenovan drugi vodja del, ki zahtevani pogoj izpolnjuje.</w:t>
      </w:r>
    </w:p>
    <w:p w:rsidR="00556816" w:rsidRPr="00D10624" w:rsidRDefault="00556816">
      <w:pPr>
        <w:rPr>
          <w:rFonts w:ascii="Tahoma" w:hAnsi="Tahoma" w:cs="Tahoma"/>
          <w:sz w:val="20"/>
          <w:szCs w:val="20"/>
        </w:rPr>
      </w:pPr>
    </w:p>
    <w:sectPr w:rsidR="00556816" w:rsidRPr="00D1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AC" w:rsidRDefault="00A115AC">
      <w:r>
        <w:separator/>
      </w:r>
    </w:p>
  </w:endnote>
  <w:endnote w:type="continuationSeparator" w:id="0">
    <w:p w:rsidR="00A115AC" w:rsidRDefault="00A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1062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AC" w:rsidRDefault="00A115AC">
      <w:r>
        <w:separator/>
      </w:r>
    </w:p>
  </w:footnote>
  <w:footnote w:type="continuationSeparator" w:id="0">
    <w:p w:rsidR="00A115AC" w:rsidRDefault="00A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46988"/>
    <w:rsid w:val="000646A9"/>
    <w:rsid w:val="000E7508"/>
    <w:rsid w:val="0018139A"/>
    <w:rsid w:val="001836BB"/>
    <w:rsid w:val="001A306D"/>
    <w:rsid w:val="001F1E50"/>
    <w:rsid w:val="00216549"/>
    <w:rsid w:val="002254BA"/>
    <w:rsid w:val="002507C2"/>
    <w:rsid w:val="00290551"/>
    <w:rsid w:val="002E1BE1"/>
    <w:rsid w:val="003133A6"/>
    <w:rsid w:val="00347F4B"/>
    <w:rsid w:val="003560E2"/>
    <w:rsid w:val="003579C0"/>
    <w:rsid w:val="00424A5A"/>
    <w:rsid w:val="0044323F"/>
    <w:rsid w:val="004B34B5"/>
    <w:rsid w:val="00556816"/>
    <w:rsid w:val="006127FF"/>
    <w:rsid w:val="00634B0D"/>
    <w:rsid w:val="00637BE6"/>
    <w:rsid w:val="00642A82"/>
    <w:rsid w:val="007D6228"/>
    <w:rsid w:val="00896E36"/>
    <w:rsid w:val="008C35A6"/>
    <w:rsid w:val="009B1FD9"/>
    <w:rsid w:val="00A05C73"/>
    <w:rsid w:val="00A115AC"/>
    <w:rsid w:val="00A17575"/>
    <w:rsid w:val="00AD3747"/>
    <w:rsid w:val="00C22DDD"/>
    <w:rsid w:val="00D10624"/>
    <w:rsid w:val="00D517D6"/>
    <w:rsid w:val="00DB7CDA"/>
    <w:rsid w:val="00DC5E1D"/>
    <w:rsid w:val="00E51016"/>
    <w:rsid w:val="00E65F58"/>
    <w:rsid w:val="00E66D5B"/>
    <w:rsid w:val="00E813F4"/>
    <w:rsid w:val="00EA1375"/>
    <w:rsid w:val="00EE13CD"/>
    <w:rsid w:val="00F01C0E"/>
    <w:rsid w:val="00F747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2021-10-06T06:58:00Z</cp:lastPrinted>
  <dcterms:created xsi:type="dcterms:W3CDTF">2021-10-07T12:08:00Z</dcterms:created>
  <dcterms:modified xsi:type="dcterms:W3CDTF">2021-10-07T12:08:00Z</dcterms:modified>
</cp:coreProperties>
</file>